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B409C3" w14:textId="77777777" w:rsidR="0086304D" w:rsidRPr="00C61967" w:rsidRDefault="0086304D" w:rsidP="0086304D">
      <w:pPr>
        <w:spacing w:after="0"/>
        <w:jc w:val="center"/>
        <w:rPr>
          <w:rFonts w:ascii="Times New Roman" w:eastAsia="Calibri" w:hAnsi="Times New Roman" w:cs="Times New Roman"/>
          <w:b/>
          <w:bCs/>
          <w:color w:val="000000"/>
          <w:szCs w:val="20"/>
        </w:rPr>
      </w:pPr>
      <w:r w:rsidRPr="00C61967">
        <w:rPr>
          <w:rFonts w:ascii="Times New Roman" w:eastAsia="Calibri" w:hAnsi="Times New Roman" w:cs="Times New Roman"/>
          <w:b/>
          <w:bCs/>
          <w:color w:val="000000"/>
          <w:szCs w:val="20"/>
        </w:rPr>
        <w:t>Pārskats pašfinansētajiem Latvijas valsts simtgadei veltītajiem pasākumiem no citām valsts budžeta programmām/apakšprogrammām</w:t>
      </w:r>
    </w:p>
    <w:p w14:paraId="20E73EF4" w14:textId="77777777" w:rsidR="0086304D" w:rsidRPr="00C61967" w:rsidRDefault="0086304D" w:rsidP="0086304D">
      <w:pPr>
        <w:pStyle w:val="Sarakstarindkopa"/>
        <w:shd w:val="clear" w:color="auto" w:fill="FFFFFF"/>
        <w:jc w:val="center"/>
        <w:rPr>
          <w:rFonts w:ascii="Times New Roman" w:hAnsi="Times New Roman"/>
          <w:b/>
          <w:bCs/>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86304D" w:rsidRPr="00C61967" w14:paraId="22E445FC" w14:textId="77777777" w:rsidTr="007906D0">
        <w:trPr>
          <w:trHeight w:val="300"/>
        </w:trPr>
        <w:tc>
          <w:tcPr>
            <w:tcW w:w="850" w:type="pct"/>
            <w:tcBorders>
              <w:top w:val="nil"/>
              <w:left w:val="nil"/>
              <w:bottom w:val="nil"/>
              <w:right w:val="nil"/>
            </w:tcBorders>
            <w:hideMark/>
          </w:tcPr>
          <w:p w14:paraId="6266EA8F" w14:textId="77777777" w:rsidR="0086304D" w:rsidRPr="00C61967" w:rsidRDefault="0086304D" w:rsidP="007906D0">
            <w:pPr>
              <w:jc w:val="left"/>
              <w:rPr>
                <w:rFonts w:ascii="Times New Roman" w:hAnsi="Times New Roman" w:cs="Times New Roman"/>
              </w:rPr>
            </w:pPr>
            <w:r w:rsidRPr="00C61967">
              <w:rPr>
                <w:rFonts w:ascii="Times New Roman" w:hAnsi="Times New Roman" w:cs="Times New Roman"/>
              </w:rPr>
              <w:t> </w:t>
            </w:r>
          </w:p>
        </w:tc>
        <w:tc>
          <w:tcPr>
            <w:tcW w:w="3350" w:type="pct"/>
            <w:tcBorders>
              <w:top w:val="nil"/>
              <w:left w:val="nil"/>
              <w:bottom w:val="single" w:sz="6" w:space="0" w:color="414142"/>
              <w:right w:val="nil"/>
            </w:tcBorders>
            <w:hideMark/>
          </w:tcPr>
          <w:p w14:paraId="21415A93" w14:textId="77777777" w:rsidR="0086304D" w:rsidRPr="00C61967" w:rsidRDefault="00C61967" w:rsidP="00C61967">
            <w:pPr>
              <w:spacing w:before="120"/>
              <w:jc w:val="center"/>
              <w:rPr>
                <w:rFonts w:ascii="Times New Roman" w:hAnsi="Times New Roman" w:cs="Times New Roman"/>
              </w:rPr>
            </w:pPr>
            <w:r w:rsidRPr="00C61967">
              <w:rPr>
                <w:rFonts w:ascii="Times New Roman" w:hAnsi="Times New Roman" w:cs="Times New Roman"/>
                <w:b/>
                <w:bCs/>
              </w:rPr>
              <w:t>LATVIJAS NACIONĀLAIS KULTŪRAS CENTRS</w:t>
            </w:r>
          </w:p>
        </w:tc>
        <w:tc>
          <w:tcPr>
            <w:tcW w:w="850" w:type="pct"/>
            <w:tcBorders>
              <w:top w:val="nil"/>
              <w:left w:val="nil"/>
              <w:bottom w:val="nil"/>
              <w:right w:val="nil"/>
            </w:tcBorders>
            <w:hideMark/>
          </w:tcPr>
          <w:p w14:paraId="633C7F15"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r>
      <w:tr w:rsidR="0086304D" w:rsidRPr="00C61967" w14:paraId="77417F91" w14:textId="77777777" w:rsidTr="007906D0">
        <w:trPr>
          <w:trHeight w:val="300"/>
        </w:trPr>
        <w:tc>
          <w:tcPr>
            <w:tcW w:w="850" w:type="pct"/>
            <w:tcBorders>
              <w:top w:val="nil"/>
              <w:left w:val="nil"/>
              <w:bottom w:val="nil"/>
              <w:right w:val="nil"/>
            </w:tcBorders>
            <w:hideMark/>
          </w:tcPr>
          <w:p w14:paraId="2A5DA9F7"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c>
          <w:tcPr>
            <w:tcW w:w="3350" w:type="pct"/>
            <w:tcBorders>
              <w:top w:val="outset" w:sz="6" w:space="0" w:color="414142"/>
              <w:left w:val="nil"/>
              <w:bottom w:val="nil"/>
              <w:right w:val="nil"/>
            </w:tcBorders>
            <w:hideMark/>
          </w:tcPr>
          <w:p w14:paraId="664E4544" w14:textId="77777777" w:rsidR="0086304D" w:rsidRPr="00C61967" w:rsidRDefault="0086304D" w:rsidP="007906D0">
            <w:pPr>
              <w:pStyle w:val="tvhtml"/>
              <w:spacing w:line="293" w:lineRule="atLeast"/>
              <w:jc w:val="center"/>
              <w:rPr>
                <w:sz w:val="22"/>
                <w:szCs w:val="22"/>
              </w:rPr>
            </w:pPr>
            <w:r w:rsidRPr="00C61967">
              <w:rPr>
                <w:sz w:val="22"/>
                <w:szCs w:val="22"/>
              </w:rPr>
              <w:t>(ministrijas vai citas centrālās valsts iestādes nosaukums)</w:t>
            </w:r>
          </w:p>
        </w:tc>
        <w:tc>
          <w:tcPr>
            <w:tcW w:w="850" w:type="pct"/>
            <w:tcBorders>
              <w:top w:val="nil"/>
              <w:left w:val="nil"/>
              <w:bottom w:val="nil"/>
              <w:right w:val="nil"/>
            </w:tcBorders>
            <w:hideMark/>
          </w:tcPr>
          <w:p w14:paraId="63C4280E"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r>
    </w:tbl>
    <w:p w14:paraId="26C7DFC1" w14:textId="77777777" w:rsidR="0086304D" w:rsidRPr="00C61967" w:rsidRDefault="0086304D" w:rsidP="0086304D">
      <w:pPr>
        <w:pStyle w:val="Sarakstarindkopa"/>
        <w:numPr>
          <w:ilvl w:val="0"/>
          <w:numId w:val="1"/>
        </w:numPr>
        <w:shd w:val="clear" w:color="auto" w:fill="FFFFFF"/>
        <w:rPr>
          <w:rFonts w:ascii="Times New Roman" w:hAnsi="Times New Roman"/>
          <w:vanish/>
          <w:lang w:val="lv-LV"/>
        </w:rPr>
      </w:pPr>
    </w:p>
    <w:tbl>
      <w:tblPr>
        <w:tblW w:w="5008"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8"/>
        <w:gridCol w:w="4331"/>
        <w:gridCol w:w="1306"/>
        <w:gridCol w:w="22"/>
      </w:tblGrid>
      <w:tr w:rsidR="0086304D" w:rsidRPr="00C61967" w14:paraId="0D4022F8" w14:textId="77777777" w:rsidTr="00661359">
        <w:trPr>
          <w:trHeight w:val="300"/>
        </w:trPr>
        <w:tc>
          <w:tcPr>
            <w:tcW w:w="849" w:type="pct"/>
            <w:gridSpan w:val="2"/>
            <w:tcBorders>
              <w:top w:val="nil"/>
              <w:left w:val="nil"/>
              <w:bottom w:val="nil"/>
              <w:right w:val="nil"/>
            </w:tcBorders>
            <w:hideMark/>
          </w:tcPr>
          <w:p w14:paraId="5CDFAF2D"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c>
          <w:tcPr>
            <w:tcW w:w="3353" w:type="pct"/>
            <w:gridSpan w:val="2"/>
            <w:tcBorders>
              <w:top w:val="nil"/>
              <w:left w:val="nil"/>
              <w:bottom w:val="single" w:sz="6" w:space="0" w:color="414142"/>
              <w:right w:val="nil"/>
            </w:tcBorders>
            <w:hideMark/>
          </w:tcPr>
          <w:p w14:paraId="0C5036CE" w14:textId="77777777" w:rsidR="00C61967" w:rsidRDefault="00747098" w:rsidP="00C61967">
            <w:pPr>
              <w:jc w:val="center"/>
              <w:rPr>
                <w:rFonts w:ascii="Times New Roman" w:eastAsia="Calibri" w:hAnsi="Times New Roman" w:cs="Times New Roman"/>
                <w:b/>
              </w:rPr>
            </w:pPr>
            <w:r w:rsidRPr="00747098">
              <w:rPr>
                <w:rFonts w:ascii="Times New Roman" w:eastAsia="Calibri" w:hAnsi="Times New Roman" w:cs="Times New Roman"/>
                <w:b/>
              </w:rPr>
              <w:t xml:space="preserve">Latvijas valsts simtgades svinību kulminācija – XXVI Vispārējie latviešu dziesmu un XVI Deju svētki </w:t>
            </w:r>
          </w:p>
          <w:p w14:paraId="7C532E0F" w14:textId="77777777" w:rsidR="00927CC0" w:rsidRPr="00927CC0" w:rsidRDefault="00927CC0" w:rsidP="00C61967">
            <w:pPr>
              <w:jc w:val="center"/>
              <w:rPr>
                <w:rFonts w:ascii="Times New Roman" w:hAnsi="Times New Roman" w:cs="Times New Roman"/>
                <w:b/>
              </w:rPr>
            </w:pPr>
            <w:r w:rsidRPr="00927CC0">
              <w:rPr>
                <w:rFonts w:ascii="Times New Roman" w:eastAsia="Calibri" w:hAnsi="Times New Roman" w:cs="Times New Roman"/>
                <w:b/>
                <w:sz w:val="24"/>
                <w:szCs w:val="24"/>
              </w:rPr>
              <w:t>30.06.2018. – 08.07.2018.</w:t>
            </w:r>
          </w:p>
        </w:tc>
        <w:tc>
          <w:tcPr>
            <w:tcW w:w="799" w:type="pct"/>
            <w:gridSpan w:val="2"/>
            <w:tcBorders>
              <w:top w:val="nil"/>
              <w:left w:val="nil"/>
              <w:bottom w:val="nil"/>
              <w:right w:val="nil"/>
            </w:tcBorders>
            <w:hideMark/>
          </w:tcPr>
          <w:p w14:paraId="1E1B029E"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r>
      <w:tr w:rsidR="0086304D" w:rsidRPr="00C61967" w14:paraId="54581B4B" w14:textId="77777777" w:rsidTr="00661359">
        <w:trPr>
          <w:trHeight w:val="300"/>
        </w:trPr>
        <w:tc>
          <w:tcPr>
            <w:tcW w:w="849" w:type="pct"/>
            <w:gridSpan w:val="2"/>
            <w:tcBorders>
              <w:top w:val="nil"/>
              <w:left w:val="nil"/>
              <w:bottom w:val="nil"/>
              <w:right w:val="nil"/>
            </w:tcBorders>
            <w:hideMark/>
          </w:tcPr>
          <w:p w14:paraId="708A4714"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c>
          <w:tcPr>
            <w:tcW w:w="3353" w:type="pct"/>
            <w:gridSpan w:val="2"/>
            <w:tcBorders>
              <w:top w:val="outset" w:sz="6" w:space="0" w:color="414142"/>
              <w:left w:val="nil"/>
              <w:bottom w:val="nil"/>
              <w:right w:val="nil"/>
            </w:tcBorders>
            <w:hideMark/>
          </w:tcPr>
          <w:p w14:paraId="03D5B2F2" w14:textId="77777777" w:rsidR="0086304D" w:rsidRPr="00C61967" w:rsidRDefault="0086304D" w:rsidP="007906D0">
            <w:pPr>
              <w:pStyle w:val="tvhtml"/>
              <w:spacing w:line="293" w:lineRule="atLeast"/>
              <w:jc w:val="center"/>
              <w:rPr>
                <w:sz w:val="22"/>
                <w:szCs w:val="22"/>
              </w:rPr>
            </w:pPr>
            <w:r w:rsidRPr="00C61967">
              <w:rPr>
                <w:sz w:val="22"/>
                <w:szCs w:val="22"/>
              </w:rPr>
              <w:t>(pasākuma nosaukums un pilnais norises laiks)</w:t>
            </w:r>
          </w:p>
        </w:tc>
        <w:tc>
          <w:tcPr>
            <w:tcW w:w="799" w:type="pct"/>
            <w:gridSpan w:val="2"/>
            <w:tcBorders>
              <w:top w:val="nil"/>
              <w:left w:val="nil"/>
              <w:bottom w:val="nil"/>
              <w:right w:val="nil"/>
            </w:tcBorders>
            <w:hideMark/>
          </w:tcPr>
          <w:p w14:paraId="383E97F3" w14:textId="77777777" w:rsidR="0086304D" w:rsidRPr="00C61967" w:rsidRDefault="0086304D" w:rsidP="007906D0">
            <w:pPr>
              <w:rPr>
                <w:rFonts w:ascii="Times New Roman" w:hAnsi="Times New Roman" w:cs="Times New Roman"/>
              </w:rPr>
            </w:pPr>
            <w:r w:rsidRPr="00C61967">
              <w:rPr>
                <w:rFonts w:ascii="Times New Roman" w:hAnsi="Times New Roman" w:cs="Times New Roman"/>
              </w:rPr>
              <w:t> </w:t>
            </w:r>
          </w:p>
        </w:tc>
      </w:tr>
      <w:tr w:rsidR="0086304D" w:rsidRPr="00C61967" w14:paraId="617FE072" w14:textId="77777777" w:rsidTr="00661359">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13" w:type="pct"/>
        </w:trPr>
        <w:tc>
          <w:tcPr>
            <w:tcW w:w="1594" w:type="pct"/>
            <w:gridSpan w:val="2"/>
            <w:tcBorders>
              <w:top w:val="outset" w:sz="6" w:space="0" w:color="414142"/>
              <w:left w:val="outset" w:sz="6" w:space="0" w:color="414142"/>
              <w:bottom w:val="outset" w:sz="6" w:space="0" w:color="414142"/>
              <w:right w:val="outset" w:sz="6" w:space="0" w:color="414142"/>
            </w:tcBorders>
            <w:hideMark/>
          </w:tcPr>
          <w:p w14:paraId="531BFA2A" w14:textId="77777777" w:rsidR="0086304D" w:rsidRPr="00C61967" w:rsidRDefault="0086304D" w:rsidP="007906D0">
            <w:pPr>
              <w:rPr>
                <w:rFonts w:ascii="Times New Roman" w:hAnsi="Times New Roman" w:cs="Times New Roman"/>
              </w:rPr>
            </w:pPr>
            <w:r w:rsidRPr="00C61967">
              <w:rPr>
                <w:rFonts w:ascii="Times New Roman" w:hAnsi="Times New Roman" w:cs="Times New Roman"/>
                <w:b/>
                <w:bCs/>
                <w:bdr w:val="none" w:sz="0" w:space="0" w:color="auto" w:frame="1"/>
              </w:rPr>
              <w:t>1.</w:t>
            </w:r>
            <w:r w:rsidRPr="00C61967">
              <w:rPr>
                <w:rFonts w:ascii="Times New Roman" w:hAnsi="Times New Roman" w:cs="Times New Roman"/>
              </w:rPr>
              <w:t> </w:t>
            </w:r>
            <w:r w:rsidRPr="00C61967">
              <w:rPr>
                <w:rFonts w:ascii="Times New Roman" w:hAnsi="Times New Roman" w:cs="Times New Roman"/>
                <w:b/>
                <w:bCs/>
                <w:bdr w:val="none" w:sz="0" w:space="0" w:color="auto" w:frame="1"/>
              </w:rPr>
              <w:t>Īss pasākuma apraksts</w:t>
            </w:r>
          </w:p>
        </w:tc>
        <w:tc>
          <w:tcPr>
            <w:tcW w:w="3388"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73590900" w14:textId="77777777" w:rsidR="00747098" w:rsidRPr="00747098" w:rsidRDefault="00747098" w:rsidP="00706ED1">
            <w:pPr>
              <w:rPr>
                <w:rFonts w:ascii="Times New Roman" w:eastAsia="Calibri" w:hAnsi="Times New Roman" w:cs="Times New Roman"/>
              </w:rPr>
            </w:pPr>
            <w:r w:rsidRPr="00747098">
              <w:rPr>
                <w:rFonts w:ascii="Times New Roman" w:eastAsia="Calibri" w:hAnsi="Times New Roman" w:cs="Times New Roman"/>
              </w:rPr>
              <w:t xml:space="preserve">XXVI Vispārējo latviešu dziesmu un XVI Deju svētku 2018 – Latvijas </w:t>
            </w:r>
            <w:r>
              <w:rPr>
                <w:rFonts w:ascii="Times New Roman" w:eastAsia="Calibri" w:hAnsi="Times New Roman" w:cs="Times New Roman"/>
              </w:rPr>
              <w:t>pasākumu rīkošana, rodot</w:t>
            </w:r>
            <w:r w:rsidRPr="00747098">
              <w:rPr>
                <w:rFonts w:ascii="Times New Roman" w:eastAsia="Calibri" w:hAnsi="Times New Roman" w:cs="Times New Roman"/>
              </w:rPr>
              <w:t xml:space="preserve"> sasaisti starp latvisko kultūras tradīciju, tās izpausmju daudzveidību, intensitāti un māksliniecisko kvalitāti, un Latvijas valstiskumu kā vienu no nozīmīgākajiem nacionālās identitātes simboliem.</w:t>
            </w:r>
          </w:p>
          <w:p w14:paraId="39BB4CD9" w14:textId="77777777" w:rsidR="0086304D" w:rsidRPr="00747098" w:rsidRDefault="00747098" w:rsidP="009D0DCB">
            <w:pPr>
              <w:rPr>
                <w:rFonts w:ascii="Times New Roman" w:hAnsi="Times New Roman" w:cs="Times New Roman"/>
              </w:rPr>
            </w:pPr>
            <w:r>
              <w:rPr>
                <w:rFonts w:ascii="Times New Roman" w:eastAsia="Calibri" w:hAnsi="Times New Roman" w:cs="Times New Roman"/>
                <w:sz w:val="24"/>
                <w:szCs w:val="24"/>
              </w:rPr>
              <w:t xml:space="preserve">Sk. </w:t>
            </w:r>
            <w:r w:rsidRPr="00747098">
              <w:rPr>
                <w:rFonts w:ascii="Times New Roman" w:eastAsia="Calibri" w:hAnsi="Times New Roman" w:cs="Times New Roman"/>
                <w:sz w:val="24"/>
                <w:szCs w:val="24"/>
              </w:rPr>
              <w:t>pielikumu</w:t>
            </w:r>
            <w:r w:rsidR="009D0DCB">
              <w:rPr>
                <w:rFonts w:ascii="Times New Roman" w:eastAsia="Calibri" w:hAnsi="Times New Roman" w:cs="Times New Roman"/>
                <w:sz w:val="24"/>
                <w:szCs w:val="24"/>
              </w:rPr>
              <w:t xml:space="preserve"> – </w:t>
            </w:r>
            <w:r w:rsidRPr="00747098">
              <w:rPr>
                <w:rFonts w:ascii="Times New Roman" w:eastAsia="Calibri" w:hAnsi="Times New Roman" w:cs="Times New Roman"/>
                <w:sz w:val="24"/>
                <w:szCs w:val="24"/>
              </w:rPr>
              <w:t xml:space="preserve">datne: </w:t>
            </w:r>
            <w:proofErr w:type="spellStart"/>
            <w:r w:rsidR="00203C2D" w:rsidRPr="00203C2D">
              <w:rPr>
                <w:rFonts w:ascii="Times New Roman" w:eastAsia="Calibri" w:hAnsi="Times New Roman" w:cs="Times New Roman"/>
                <w:sz w:val="24"/>
                <w:szCs w:val="24"/>
              </w:rPr>
              <w:t>Pielikums_Pārskatam_XXVI</w:t>
            </w:r>
            <w:proofErr w:type="spellEnd"/>
            <w:r w:rsidR="00203C2D" w:rsidRPr="00203C2D">
              <w:rPr>
                <w:rFonts w:ascii="Times New Roman" w:eastAsia="Calibri" w:hAnsi="Times New Roman" w:cs="Times New Roman"/>
                <w:sz w:val="24"/>
                <w:szCs w:val="24"/>
              </w:rPr>
              <w:t xml:space="preserve"> Vispārējie latviešu dziesmu un XVI Deju svētki 2018.doc</w:t>
            </w:r>
          </w:p>
        </w:tc>
      </w:tr>
      <w:tr w:rsidR="0086304D" w:rsidRPr="00C61967" w14:paraId="0A129F50" w14:textId="77777777" w:rsidTr="00661359">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13" w:type="pct"/>
        </w:trPr>
        <w:tc>
          <w:tcPr>
            <w:tcW w:w="1594" w:type="pct"/>
            <w:gridSpan w:val="2"/>
            <w:tcBorders>
              <w:top w:val="outset" w:sz="6" w:space="0" w:color="414142"/>
              <w:left w:val="outset" w:sz="6" w:space="0" w:color="414142"/>
              <w:bottom w:val="outset" w:sz="6" w:space="0" w:color="414142"/>
              <w:right w:val="outset" w:sz="6" w:space="0" w:color="414142"/>
            </w:tcBorders>
            <w:hideMark/>
          </w:tcPr>
          <w:p w14:paraId="01D2576D" w14:textId="77777777" w:rsidR="0086304D" w:rsidRPr="00C61967" w:rsidRDefault="0086304D" w:rsidP="007906D0">
            <w:pPr>
              <w:rPr>
                <w:rFonts w:ascii="Times New Roman" w:hAnsi="Times New Roman" w:cs="Times New Roman"/>
              </w:rPr>
            </w:pPr>
            <w:r w:rsidRPr="00C61967">
              <w:rPr>
                <w:rFonts w:ascii="Times New Roman" w:hAnsi="Times New Roman" w:cs="Times New Roman"/>
                <w:b/>
                <w:bCs/>
                <w:bdr w:val="none" w:sz="0" w:space="0" w:color="auto" w:frame="1"/>
              </w:rPr>
              <w:t>2.</w:t>
            </w:r>
            <w:r w:rsidRPr="00C61967">
              <w:rPr>
                <w:rFonts w:ascii="Times New Roman" w:hAnsi="Times New Roman" w:cs="Times New Roman"/>
              </w:rPr>
              <w:t> </w:t>
            </w:r>
            <w:r w:rsidRPr="00C61967">
              <w:rPr>
                <w:rFonts w:ascii="Times New Roman" w:hAnsi="Times New Roman" w:cs="Times New Roman"/>
                <w:b/>
                <w:bCs/>
                <w:bdr w:val="none" w:sz="0" w:space="0" w:color="auto" w:frame="1"/>
              </w:rPr>
              <w:t>Pasākuma mērķauditorija</w:t>
            </w:r>
            <w:r w:rsidRPr="00C61967">
              <w:rPr>
                <w:rFonts w:ascii="Times New Roman" w:hAnsi="Times New Roman" w:cs="Times New Roman"/>
              </w:rPr>
              <w:t> (t. sk. plānotās iedzīvotāju grupas, sasniegto iedzīvotāju skaits (tiešā un netiešā mērķauditorija), iespēja līdzdarboties un (vai) sniegt atgriezenisko saiti, daudzveidīgu pieejamības aspektu nodrošināšana utt.)</w:t>
            </w:r>
          </w:p>
        </w:tc>
        <w:tc>
          <w:tcPr>
            <w:tcW w:w="3388"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7D70942F" w14:textId="77777777" w:rsidR="00661359" w:rsidRPr="00661359" w:rsidRDefault="00661359" w:rsidP="00661359">
            <w:pPr>
              <w:spacing w:after="0"/>
              <w:rPr>
                <w:rFonts w:ascii="Times New Roman" w:eastAsia="Calibri" w:hAnsi="Times New Roman" w:cs="Times New Roman"/>
                <w:b/>
              </w:rPr>
            </w:pPr>
            <w:r w:rsidRPr="00661359">
              <w:rPr>
                <w:rFonts w:ascii="Times New Roman" w:eastAsia="Calibri" w:hAnsi="Times New Roman" w:cs="Times New Roman"/>
                <w:b/>
              </w:rPr>
              <w:t xml:space="preserve">Pasākuma mērķauditorija: </w:t>
            </w:r>
          </w:p>
          <w:p w14:paraId="62F1D9FE" w14:textId="77777777" w:rsidR="00661359" w:rsidRPr="00661359" w:rsidRDefault="00661359" w:rsidP="00661359">
            <w:pPr>
              <w:spacing w:after="0"/>
              <w:rPr>
                <w:rFonts w:ascii="Times New Roman" w:eastAsia="Calibri" w:hAnsi="Times New Roman" w:cs="Times New Roman"/>
              </w:rPr>
            </w:pPr>
            <w:r w:rsidRPr="00661359">
              <w:rPr>
                <w:rFonts w:ascii="Times New Roman" w:eastAsia="Calibri" w:hAnsi="Times New Roman" w:cs="Times New Roman"/>
              </w:rPr>
              <w:t>Latvijas sabiedrība, kopienas, ārvalstu, tajā skaitā latviešu ārzemēs (diasporu), interesenti.</w:t>
            </w:r>
          </w:p>
          <w:p w14:paraId="7344CD0C" w14:textId="77777777" w:rsidR="00661359" w:rsidRPr="00661359" w:rsidRDefault="00661359" w:rsidP="00661359">
            <w:pPr>
              <w:spacing w:after="0"/>
              <w:rPr>
                <w:rFonts w:ascii="Times New Roman" w:eastAsia="Calibri" w:hAnsi="Times New Roman" w:cs="Times New Roman"/>
                <w:b/>
              </w:rPr>
            </w:pPr>
            <w:r w:rsidRPr="00661359">
              <w:rPr>
                <w:rFonts w:ascii="Times New Roman" w:eastAsia="Calibri" w:hAnsi="Times New Roman" w:cs="Times New Roman"/>
                <w:b/>
              </w:rPr>
              <w:t xml:space="preserve">Biļešu politika: </w:t>
            </w:r>
          </w:p>
          <w:p w14:paraId="317B3527" w14:textId="77777777" w:rsidR="00661359" w:rsidRPr="00661359" w:rsidRDefault="00661359" w:rsidP="00661359">
            <w:pPr>
              <w:pStyle w:val="Sarakstarindkopa"/>
              <w:numPr>
                <w:ilvl w:val="0"/>
                <w:numId w:val="4"/>
              </w:numPr>
              <w:spacing w:after="0"/>
              <w:rPr>
                <w:rFonts w:ascii="Times New Roman" w:hAnsi="Times New Roman"/>
                <w:szCs w:val="22"/>
                <w:lang w:val="lv-LV"/>
              </w:rPr>
            </w:pPr>
            <w:r w:rsidRPr="00661359">
              <w:rPr>
                <w:rFonts w:ascii="Times New Roman" w:hAnsi="Times New Roman"/>
                <w:szCs w:val="22"/>
                <w:lang w:val="lv-LV"/>
              </w:rPr>
              <w:t>Salīdzinot ar iepriekšējiem svētkiem, samazinājies ielūgumu skaits (līdz 2% no kopējā pieejamo biļešu skaita).</w:t>
            </w:r>
          </w:p>
          <w:p w14:paraId="5EB2F34E" w14:textId="77777777" w:rsidR="00661359" w:rsidRPr="00661359" w:rsidRDefault="00661359" w:rsidP="00661359">
            <w:pPr>
              <w:pStyle w:val="Paraststmeklis"/>
              <w:spacing w:before="0" w:beforeAutospacing="0" w:after="0" w:afterAutospacing="0"/>
              <w:jc w:val="both"/>
              <w:rPr>
                <w:sz w:val="22"/>
                <w:szCs w:val="22"/>
              </w:rPr>
            </w:pPr>
            <w:r w:rsidRPr="00661359">
              <w:rPr>
                <w:b/>
                <w:sz w:val="22"/>
                <w:szCs w:val="22"/>
              </w:rPr>
              <w:t>Ielūgumus</w:t>
            </w:r>
            <w:r w:rsidRPr="00661359">
              <w:rPr>
                <w:sz w:val="22"/>
                <w:szCs w:val="22"/>
              </w:rPr>
              <w:t xml:space="preserve"> saņēma valsts augstākās amatpersonas (Latvijas valsts prezidents, Saeimas priekšsēdētāja, Ministru prezidents), eksprezidenti, Dziesmu un deju svētku virsdiriģenti un virsvadītāji, Dziesmu un deju svētku procesa uzturētāji ārvalstīs un Kultūras ministrijas Goda viesi par ieguldījumu kultūrā.</w:t>
            </w:r>
          </w:p>
          <w:p w14:paraId="122CE4E2" w14:textId="77777777" w:rsidR="00661359" w:rsidRPr="00661359" w:rsidRDefault="00661359" w:rsidP="00661359">
            <w:pPr>
              <w:pStyle w:val="Paraststmeklis"/>
              <w:numPr>
                <w:ilvl w:val="0"/>
                <w:numId w:val="4"/>
              </w:numPr>
              <w:spacing w:before="0" w:beforeAutospacing="0" w:after="0" w:afterAutospacing="0"/>
              <w:jc w:val="both"/>
              <w:rPr>
                <w:sz w:val="22"/>
                <w:szCs w:val="22"/>
              </w:rPr>
            </w:pPr>
            <w:r w:rsidRPr="00661359">
              <w:rPr>
                <w:sz w:val="22"/>
                <w:szCs w:val="22"/>
              </w:rPr>
              <w:t xml:space="preserve">Iepriekšējā rezervācija bija iespējama tikai uz diviem lielajiem noslēguma pasākumiem – uz deju lieluzvedumu un noslēguma koncertu (24% no kopējā pieejamo biļešu skaita). </w:t>
            </w:r>
          </w:p>
          <w:p w14:paraId="5F557B01" w14:textId="77777777" w:rsidR="00661359" w:rsidRPr="00661359" w:rsidRDefault="00661359" w:rsidP="00661359">
            <w:pPr>
              <w:pStyle w:val="Paraststmeklis"/>
              <w:spacing w:before="0" w:beforeAutospacing="0" w:after="0" w:afterAutospacing="0"/>
              <w:jc w:val="both"/>
              <w:rPr>
                <w:sz w:val="22"/>
                <w:szCs w:val="22"/>
              </w:rPr>
            </w:pPr>
            <w:r w:rsidRPr="00661359">
              <w:rPr>
                <w:sz w:val="22"/>
                <w:szCs w:val="22"/>
              </w:rPr>
              <w:t>Iepriekšējā rezervācija attiecas uz:</w:t>
            </w:r>
          </w:p>
          <w:p w14:paraId="6D5CCB73" w14:textId="77777777" w:rsidR="00661359" w:rsidRPr="00661359" w:rsidRDefault="00661359" w:rsidP="00661359">
            <w:pPr>
              <w:pStyle w:val="Paraststmeklis"/>
              <w:numPr>
                <w:ilvl w:val="0"/>
                <w:numId w:val="5"/>
              </w:numPr>
              <w:spacing w:before="0" w:beforeAutospacing="0" w:after="0" w:afterAutospacing="0"/>
              <w:jc w:val="both"/>
              <w:rPr>
                <w:sz w:val="22"/>
                <w:szCs w:val="22"/>
              </w:rPr>
            </w:pPr>
            <w:r w:rsidRPr="00661359">
              <w:rPr>
                <w:sz w:val="22"/>
                <w:szCs w:val="22"/>
              </w:rPr>
              <w:t>dziesmu un deju svētku procesa uzturētājiem Latvijā un ārvalstīs (70%);</w:t>
            </w:r>
          </w:p>
          <w:p w14:paraId="1BF5DECF" w14:textId="77777777" w:rsidR="00661359" w:rsidRPr="00661359" w:rsidRDefault="00661359" w:rsidP="00661359">
            <w:pPr>
              <w:pStyle w:val="Paraststmeklis"/>
              <w:numPr>
                <w:ilvl w:val="0"/>
                <w:numId w:val="5"/>
              </w:numPr>
              <w:spacing w:before="0" w:beforeAutospacing="0" w:after="0" w:afterAutospacing="0"/>
              <w:jc w:val="both"/>
              <w:rPr>
                <w:sz w:val="22"/>
                <w:szCs w:val="22"/>
              </w:rPr>
            </w:pPr>
            <w:r w:rsidRPr="00661359">
              <w:rPr>
                <w:sz w:val="22"/>
                <w:szCs w:val="22"/>
              </w:rPr>
              <w:t xml:space="preserve">dažādām sociālajām grupām (daudzbērnu ģimenes, cilvēki ar kustību traucējumiem, politiski represētie, sociāli neaizsargātākās grupas saskaņā ar iesniegumiem) (8%) </w:t>
            </w:r>
          </w:p>
          <w:p w14:paraId="4271718F" w14:textId="77777777" w:rsidR="00661359" w:rsidRPr="00661359" w:rsidRDefault="00661359" w:rsidP="00661359">
            <w:pPr>
              <w:pStyle w:val="Paraststmeklis"/>
              <w:numPr>
                <w:ilvl w:val="0"/>
                <w:numId w:val="5"/>
              </w:numPr>
              <w:spacing w:before="0" w:beforeAutospacing="0" w:after="0" w:afterAutospacing="0"/>
              <w:jc w:val="both"/>
              <w:rPr>
                <w:sz w:val="22"/>
                <w:szCs w:val="22"/>
              </w:rPr>
            </w:pPr>
            <w:r w:rsidRPr="00661359">
              <w:rPr>
                <w:sz w:val="22"/>
                <w:szCs w:val="22"/>
              </w:rPr>
              <w:t xml:space="preserve">Ministru kabineta, Kultūras ministrijas un Ārlietu ministrijas oficiālajām delegācijām, UNESCO pārstāvjiem, Svētku partneriem, Dziesmu un deju svētku padomi u.c. (22%). </w:t>
            </w:r>
          </w:p>
          <w:p w14:paraId="151E43EF" w14:textId="77777777" w:rsidR="00661359" w:rsidRPr="00661359" w:rsidRDefault="00661359" w:rsidP="00661359">
            <w:pPr>
              <w:pStyle w:val="Paraststmeklis"/>
              <w:spacing w:before="0" w:beforeAutospacing="0" w:after="0" w:afterAutospacing="0"/>
              <w:jc w:val="both"/>
              <w:rPr>
                <w:b/>
                <w:sz w:val="22"/>
                <w:szCs w:val="22"/>
              </w:rPr>
            </w:pPr>
            <w:r w:rsidRPr="00661359">
              <w:rPr>
                <w:b/>
                <w:sz w:val="22"/>
                <w:szCs w:val="22"/>
              </w:rPr>
              <w:t>74% no kopējā pieejamo biļešu skaita bija pieejami brīvajā tirdzniecībā.</w:t>
            </w:r>
          </w:p>
          <w:p w14:paraId="4520D827" w14:textId="77777777" w:rsidR="00661359" w:rsidRPr="00661359" w:rsidRDefault="00661359" w:rsidP="00661359">
            <w:pPr>
              <w:pStyle w:val="Paraststmeklis"/>
              <w:numPr>
                <w:ilvl w:val="0"/>
                <w:numId w:val="4"/>
              </w:numPr>
              <w:spacing w:before="0" w:beforeAutospacing="0" w:after="0" w:afterAutospacing="0"/>
              <w:jc w:val="both"/>
              <w:rPr>
                <w:sz w:val="22"/>
                <w:szCs w:val="22"/>
              </w:rPr>
            </w:pPr>
            <w:r w:rsidRPr="00661359">
              <w:rPr>
                <w:sz w:val="22"/>
                <w:szCs w:val="22"/>
              </w:rPr>
              <w:t xml:space="preserve">Biļešu cena brīvajā tirdzniecībā: EUR 2 – 65. </w:t>
            </w:r>
          </w:p>
          <w:p w14:paraId="18113014" w14:textId="77777777" w:rsidR="00661359" w:rsidRPr="00661359" w:rsidRDefault="00661359" w:rsidP="00661359">
            <w:pPr>
              <w:pStyle w:val="Paraststmeklis"/>
              <w:numPr>
                <w:ilvl w:val="0"/>
                <w:numId w:val="4"/>
              </w:numPr>
              <w:spacing w:before="0" w:beforeAutospacing="0" w:after="0" w:afterAutospacing="0"/>
              <w:jc w:val="both"/>
              <w:rPr>
                <w:sz w:val="22"/>
                <w:szCs w:val="22"/>
              </w:rPr>
            </w:pPr>
            <w:r w:rsidRPr="00661359">
              <w:rPr>
                <w:sz w:val="22"/>
                <w:szCs w:val="22"/>
              </w:rPr>
              <w:t xml:space="preserve">Iespējams iegādāties ne vairāk par 4 biļetēm vienlaikus. </w:t>
            </w:r>
          </w:p>
          <w:p w14:paraId="666E35EC" w14:textId="77777777" w:rsidR="00661359" w:rsidRPr="00661359" w:rsidRDefault="00661359" w:rsidP="00661359">
            <w:pPr>
              <w:pStyle w:val="Paraststmeklis"/>
              <w:spacing w:before="0" w:beforeAutospacing="0" w:after="0" w:afterAutospacing="0"/>
              <w:rPr>
                <w:b/>
                <w:sz w:val="22"/>
                <w:szCs w:val="22"/>
              </w:rPr>
            </w:pPr>
            <w:r w:rsidRPr="00661359">
              <w:rPr>
                <w:b/>
                <w:sz w:val="22"/>
                <w:szCs w:val="22"/>
              </w:rPr>
              <w:t xml:space="preserve">Apmeklētāju skaits: </w:t>
            </w:r>
          </w:p>
          <w:p w14:paraId="2D178397" w14:textId="77777777" w:rsidR="00661359" w:rsidRPr="00661359" w:rsidRDefault="00661359" w:rsidP="00661359">
            <w:pPr>
              <w:pStyle w:val="Paraststmeklis"/>
              <w:numPr>
                <w:ilvl w:val="0"/>
                <w:numId w:val="4"/>
              </w:numPr>
              <w:spacing w:before="0" w:beforeAutospacing="0" w:after="0" w:afterAutospacing="0"/>
              <w:rPr>
                <w:sz w:val="22"/>
                <w:szCs w:val="22"/>
              </w:rPr>
            </w:pPr>
            <w:r w:rsidRPr="00661359">
              <w:rPr>
                <w:sz w:val="22"/>
                <w:szCs w:val="22"/>
              </w:rPr>
              <w:t xml:space="preserve">Bezmaksas – 96 150 </w:t>
            </w:r>
          </w:p>
          <w:p w14:paraId="7A1FFE0F" w14:textId="77777777" w:rsidR="00661359" w:rsidRPr="00661359" w:rsidRDefault="00661359" w:rsidP="00661359">
            <w:pPr>
              <w:pStyle w:val="Paraststmeklis"/>
              <w:numPr>
                <w:ilvl w:val="0"/>
                <w:numId w:val="4"/>
              </w:numPr>
              <w:spacing w:before="0" w:beforeAutospacing="0" w:after="0" w:afterAutospacing="0"/>
              <w:rPr>
                <w:sz w:val="22"/>
                <w:szCs w:val="22"/>
              </w:rPr>
            </w:pPr>
            <w:r w:rsidRPr="00661359">
              <w:rPr>
                <w:sz w:val="22"/>
                <w:szCs w:val="22"/>
              </w:rPr>
              <w:lastRenderedPageBreak/>
              <w:t>Maksas – 124 089</w:t>
            </w:r>
          </w:p>
          <w:p w14:paraId="38628D38" w14:textId="77777777" w:rsidR="00661359" w:rsidRPr="00661359" w:rsidRDefault="00661359" w:rsidP="00661359">
            <w:pPr>
              <w:pStyle w:val="Paraststmeklis"/>
              <w:spacing w:before="0" w:beforeAutospacing="0" w:after="0" w:afterAutospacing="0"/>
              <w:ind w:left="360"/>
              <w:rPr>
                <w:sz w:val="22"/>
                <w:szCs w:val="22"/>
              </w:rPr>
            </w:pPr>
            <w:r w:rsidRPr="00661359">
              <w:rPr>
                <w:sz w:val="22"/>
                <w:szCs w:val="22"/>
              </w:rPr>
              <w:t xml:space="preserve">Neizpārdoto biļešu skaits – 88 </w:t>
            </w:r>
          </w:p>
          <w:p w14:paraId="37D07C47" w14:textId="77777777" w:rsidR="00661359" w:rsidRPr="00661359" w:rsidRDefault="00661359" w:rsidP="00661359">
            <w:pPr>
              <w:pStyle w:val="Paraststmeklis"/>
              <w:spacing w:before="0" w:beforeAutospacing="0" w:after="0" w:afterAutospacing="0"/>
              <w:rPr>
                <w:b/>
                <w:sz w:val="22"/>
                <w:szCs w:val="22"/>
              </w:rPr>
            </w:pPr>
            <w:r w:rsidRPr="00661359">
              <w:rPr>
                <w:b/>
                <w:sz w:val="22"/>
                <w:szCs w:val="22"/>
              </w:rPr>
              <w:t xml:space="preserve">Dalībnieku skaits: </w:t>
            </w:r>
          </w:p>
          <w:p w14:paraId="543C8EF3" w14:textId="77777777" w:rsidR="00661359" w:rsidRPr="00661359" w:rsidRDefault="00661359" w:rsidP="00661359">
            <w:pPr>
              <w:pStyle w:val="Paraststmeklis"/>
              <w:numPr>
                <w:ilvl w:val="0"/>
                <w:numId w:val="4"/>
              </w:numPr>
              <w:spacing w:before="0" w:beforeAutospacing="0" w:after="0" w:afterAutospacing="0"/>
              <w:rPr>
                <w:sz w:val="22"/>
                <w:szCs w:val="22"/>
              </w:rPr>
            </w:pPr>
            <w:r w:rsidRPr="00661359">
              <w:rPr>
                <w:sz w:val="22"/>
                <w:szCs w:val="22"/>
              </w:rPr>
              <w:t xml:space="preserve">Svētku dalībnieku skaits (kopējais) - </w:t>
            </w:r>
            <w:r w:rsidRPr="00661359">
              <w:rPr>
                <w:bCs/>
                <w:sz w:val="22"/>
                <w:szCs w:val="22"/>
              </w:rPr>
              <w:t xml:space="preserve">43 219 </w:t>
            </w:r>
          </w:p>
          <w:p w14:paraId="3244F458" w14:textId="77777777" w:rsidR="00661359" w:rsidRPr="00661359" w:rsidRDefault="00661359" w:rsidP="00661359">
            <w:pPr>
              <w:pStyle w:val="Paraststmeklis"/>
              <w:numPr>
                <w:ilvl w:val="0"/>
                <w:numId w:val="4"/>
              </w:numPr>
              <w:spacing w:before="0" w:beforeAutospacing="0" w:after="0" w:afterAutospacing="0"/>
              <w:rPr>
                <w:sz w:val="22"/>
                <w:szCs w:val="22"/>
              </w:rPr>
            </w:pPr>
            <w:r w:rsidRPr="00661359">
              <w:rPr>
                <w:bCs/>
                <w:sz w:val="22"/>
                <w:szCs w:val="22"/>
              </w:rPr>
              <w:t>2411</w:t>
            </w:r>
            <w:r w:rsidRPr="00661359">
              <w:rPr>
                <w:sz w:val="22"/>
                <w:szCs w:val="22"/>
              </w:rPr>
              <w:t xml:space="preserve"> ārvalstu latvieši (diasporu pārstāvji)</w:t>
            </w:r>
          </w:p>
          <w:p w14:paraId="1A5E954F" w14:textId="77777777" w:rsidR="00661359" w:rsidRPr="00661359" w:rsidRDefault="00661359" w:rsidP="00661359">
            <w:pPr>
              <w:pStyle w:val="Paraststmeklis"/>
              <w:spacing w:before="0" w:beforeAutospacing="0" w:after="0" w:afterAutospacing="0"/>
              <w:rPr>
                <w:b/>
                <w:sz w:val="22"/>
                <w:szCs w:val="22"/>
              </w:rPr>
            </w:pPr>
            <w:r w:rsidRPr="00661359">
              <w:rPr>
                <w:b/>
                <w:sz w:val="22"/>
                <w:szCs w:val="22"/>
              </w:rPr>
              <w:t xml:space="preserve">Brīvprātīgo skaits: </w:t>
            </w:r>
          </w:p>
          <w:p w14:paraId="3992BA29" w14:textId="77777777" w:rsidR="00661359" w:rsidRPr="00661359" w:rsidRDefault="00661359" w:rsidP="00661359">
            <w:pPr>
              <w:pStyle w:val="Paraststmeklis"/>
              <w:numPr>
                <w:ilvl w:val="0"/>
                <w:numId w:val="4"/>
              </w:numPr>
              <w:spacing w:before="0" w:beforeAutospacing="0" w:after="0" w:afterAutospacing="0"/>
              <w:rPr>
                <w:sz w:val="22"/>
                <w:szCs w:val="22"/>
              </w:rPr>
            </w:pPr>
            <w:r w:rsidRPr="00661359">
              <w:rPr>
                <w:sz w:val="22"/>
                <w:szCs w:val="22"/>
              </w:rPr>
              <w:t xml:space="preserve">Svētkos darbojās vairāk nekā </w:t>
            </w:r>
            <w:r w:rsidRPr="00661359">
              <w:rPr>
                <w:bCs/>
                <w:sz w:val="22"/>
                <w:szCs w:val="22"/>
              </w:rPr>
              <w:t>1</w:t>
            </w:r>
            <w:r w:rsidRPr="00661359">
              <w:rPr>
                <w:bCs/>
                <w:sz w:val="22"/>
                <w:szCs w:val="22"/>
                <w:lang w:val="en-US"/>
              </w:rPr>
              <w:t>35</w:t>
            </w:r>
            <w:r w:rsidRPr="00661359">
              <w:rPr>
                <w:bCs/>
                <w:sz w:val="22"/>
                <w:szCs w:val="22"/>
              </w:rPr>
              <w:t>0</w:t>
            </w:r>
            <w:r w:rsidRPr="00661359">
              <w:rPr>
                <w:sz w:val="22"/>
                <w:szCs w:val="22"/>
              </w:rPr>
              <w:t xml:space="preserve"> brīvprātīgo</w:t>
            </w:r>
          </w:p>
          <w:p w14:paraId="4CFC9527" w14:textId="77777777" w:rsidR="00661359" w:rsidRPr="00661359" w:rsidRDefault="00661359" w:rsidP="00661359">
            <w:pPr>
              <w:pStyle w:val="Paraststmeklis"/>
              <w:spacing w:before="0" w:beforeAutospacing="0" w:after="0" w:afterAutospacing="0"/>
              <w:rPr>
                <w:b/>
                <w:sz w:val="22"/>
                <w:szCs w:val="22"/>
              </w:rPr>
            </w:pPr>
            <w:r w:rsidRPr="00661359">
              <w:rPr>
                <w:b/>
                <w:sz w:val="22"/>
                <w:szCs w:val="22"/>
              </w:rPr>
              <w:t>Auditorija:</w:t>
            </w:r>
          </w:p>
          <w:p w14:paraId="10F2E657" w14:textId="77777777" w:rsidR="00661359" w:rsidRPr="00661359" w:rsidRDefault="00661359" w:rsidP="00661359">
            <w:pPr>
              <w:pStyle w:val="Paraststmeklis"/>
              <w:numPr>
                <w:ilvl w:val="0"/>
                <w:numId w:val="4"/>
              </w:numPr>
              <w:spacing w:before="0" w:beforeAutospacing="0" w:after="0" w:afterAutospacing="0"/>
              <w:rPr>
                <w:sz w:val="22"/>
                <w:szCs w:val="22"/>
              </w:rPr>
            </w:pPr>
            <w:r w:rsidRPr="00661359">
              <w:rPr>
                <w:sz w:val="22"/>
                <w:szCs w:val="22"/>
              </w:rPr>
              <w:t xml:space="preserve">Svētkus klātienē apmeklēja ap 500 000 skatītāju </w:t>
            </w:r>
          </w:p>
          <w:p w14:paraId="517B6408" w14:textId="77777777" w:rsidR="00661359" w:rsidRPr="00661359" w:rsidRDefault="00661359" w:rsidP="00661359">
            <w:pPr>
              <w:pStyle w:val="Paraststmeklis"/>
              <w:numPr>
                <w:ilvl w:val="0"/>
                <w:numId w:val="4"/>
              </w:numPr>
              <w:spacing w:before="0" w:beforeAutospacing="0" w:after="0" w:afterAutospacing="0"/>
              <w:rPr>
                <w:sz w:val="22"/>
                <w:szCs w:val="22"/>
              </w:rPr>
            </w:pPr>
            <w:r w:rsidRPr="00661359">
              <w:rPr>
                <w:sz w:val="22"/>
                <w:szCs w:val="22"/>
              </w:rPr>
              <w:t>Sociālajos medijos pasākumiem sekoja cilvēki no 21 pasaules valsts (sasniegti 514 117 cilvēki no Latvijas, kā arī UK, ASV, Vācijas, Austrālijas u.c.)</w:t>
            </w:r>
          </w:p>
          <w:p w14:paraId="05B96B3D" w14:textId="77777777" w:rsidR="00661359" w:rsidRPr="00661359" w:rsidRDefault="00661359" w:rsidP="00661359">
            <w:pPr>
              <w:pStyle w:val="Paraststmeklis"/>
              <w:numPr>
                <w:ilvl w:val="0"/>
                <w:numId w:val="4"/>
              </w:numPr>
              <w:spacing w:before="0" w:beforeAutospacing="0" w:after="0" w:afterAutospacing="0"/>
              <w:rPr>
                <w:sz w:val="22"/>
                <w:szCs w:val="22"/>
              </w:rPr>
            </w:pPr>
            <w:r w:rsidRPr="00661359">
              <w:rPr>
                <w:sz w:val="22"/>
                <w:szCs w:val="22"/>
              </w:rPr>
              <w:t>Cilvēki mijiedarbojušies ar saturu 602 352 reizes</w:t>
            </w:r>
          </w:p>
          <w:p w14:paraId="3553BEF4" w14:textId="77777777" w:rsidR="00661359" w:rsidRPr="00661359" w:rsidRDefault="00661359" w:rsidP="00841832">
            <w:pPr>
              <w:pStyle w:val="Paraststmeklis"/>
              <w:numPr>
                <w:ilvl w:val="0"/>
                <w:numId w:val="4"/>
              </w:numPr>
              <w:spacing w:before="0" w:beforeAutospacing="0" w:after="0" w:afterAutospacing="0"/>
              <w:rPr>
                <w:sz w:val="22"/>
                <w:szCs w:val="22"/>
              </w:rPr>
            </w:pPr>
            <w:r w:rsidRPr="00661359">
              <w:rPr>
                <w:sz w:val="22"/>
                <w:szCs w:val="22"/>
              </w:rPr>
              <w:t>Vairāk nekā 40 publiskās skatīšanās iespējas visā pasaulē</w:t>
            </w:r>
          </w:p>
          <w:p w14:paraId="68D16E88" w14:textId="77777777" w:rsidR="00661359" w:rsidRPr="00661359" w:rsidRDefault="00661359" w:rsidP="00661359">
            <w:pPr>
              <w:pStyle w:val="Paraststmeklis"/>
              <w:numPr>
                <w:ilvl w:val="0"/>
                <w:numId w:val="4"/>
              </w:numPr>
              <w:spacing w:before="0" w:beforeAutospacing="0" w:after="0" w:afterAutospacing="0"/>
              <w:rPr>
                <w:sz w:val="22"/>
                <w:szCs w:val="22"/>
              </w:rPr>
            </w:pPr>
            <w:r w:rsidRPr="00661359">
              <w:rPr>
                <w:sz w:val="22"/>
                <w:szCs w:val="22"/>
              </w:rPr>
              <w:t>Svētkus LTV tiešraides skatījās 23 pasaules valstīs</w:t>
            </w:r>
          </w:p>
          <w:p w14:paraId="458A33B8" w14:textId="77777777" w:rsidR="00661359" w:rsidRPr="00661359" w:rsidRDefault="00661359" w:rsidP="00661359">
            <w:pPr>
              <w:pStyle w:val="Paraststmeklis"/>
              <w:numPr>
                <w:ilvl w:val="0"/>
                <w:numId w:val="4"/>
              </w:numPr>
              <w:spacing w:before="0" w:beforeAutospacing="0" w:after="0" w:afterAutospacing="0"/>
              <w:rPr>
                <w:sz w:val="22"/>
                <w:szCs w:val="22"/>
              </w:rPr>
            </w:pPr>
            <w:r w:rsidRPr="00661359">
              <w:rPr>
                <w:b/>
                <w:bCs/>
                <w:sz w:val="22"/>
                <w:szCs w:val="22"/>
              </w:rPr>
              <w:t xml:space="preserve">LMT Straumes saturs: </w:t>
            </w:r>
            <w:r w:rsidRPr="00661359">
              <w:rPr>
                <w:sz w:val="22"/>
                <w:szCs w:val="22"/>
              </w:rPr>
              <w:br/>
              <w:t xml:space="preserve">skatījās </w:t>
            </w:r>
            <w:r w:rsidRPr="00661359">
              <w:rPr>
                <w:sz w:val="22"/>
                <w:szCs w:val="22"/>
                <w:lang w:val="en-US"/>
              </w:rPr>
              <w:t>61</w:t>
            </w:r>
            <w:r w:rsidRPr="00661359">
              <w:rPr>
                <w:sz w:val="22"/>
                <w:szCs w:val="22"/>
              </w:rPr>
              <w:t xml:space="preserve"> valstis</w:t>
            </w:r>
          </w:p>
          <w:p w14:paraId="61EEEB4A" w14:textId="77777777" w:rsidR="00661359" w:rsidRPr="00661359" w:rsidRDefault="00661359" w:rsidP="00661359">
            <w:pPr>
              <w:pStyle w:val="Paraststmeklis"/>
              <w:numPr>
                <w:ilvl w:val="0"/>
                <w:numId w:val="4"/>
              </w:numPr>
              <w:spacing w:before="0" w:beforeAutospacing="0" w:after="0" w:afterAutospacing="0"/>
              <w:rPr>
                <w:sz w:val="22"/>
                <w:szCs w:val="22"/>
              </w:rPr>
            </w:pPr>
            <w:r w:rsidRPr="00661359">
              <w:rPr>
                <w:b/>
                <w:bCs/>
                <w:sz w:val="22"/>
                <w:szCs w:val="22"/>
              </w:rPr>
              <w:t>Jaunākās tehnoloģijas</w:t>
            </w:r>
            <w:r w:rsidRPr="00661359">
              <w:rPr>
                <w:sz w:val="22"/>
                <w:szCs w:val="22"/>
              </w:rPr>
              <w:t>:</w:t>
            </w:r>
            <w:r>
              <w:rPr>
                <w:sz w:val="22"/>
                <w:szCs w:val="22"/>
              </w:rPr>
              <w:t xml:space="preserve"> </w:t>
            </w:r>
            <w:r w:rsidRPr="00661359">
              <w:rPr>
                <w:sz w:val="22"/>
                <w:szCs w:val="22"/>
              </w:rPr>
              <w:t>360 video</w:t>
            </w:r>
            <w:r>
              <w:rPr>
                <w:sz w:val="22"/>
                <w:szCs w:val="22"/>
              </w:rPr>
              <w:t xml:space="preserve">, </w:t>
            </w:r>
            <w:proofErr w:type="spellStart"/>
            <w:r w:rsidRPr="00661359">
              <w:rPr>
                <w:sz w:val="22"/>
                <w:szCs w:val="22"/>
              </w:rPr>
              <w:t>Time-laps</w:t>
            </w:r>
            <w:proofErr w:type="spellEnd"/>
            <w:r>
              <w:rPr>
                <w:sz w:val="22"/>
                <w:szCs w:val="22"/>
              </w:rPr>
              <w:t xml:space="preserve">, </w:t>
            </w:r>
            <w:proofErr w:type="spellStart"/>
            <w:r w:rsidRPr="00661359">
              <w:rPr>
                <w:sz w:val="22"/>
                <w:szCs w:val="22"/>
              </w:rPr>
              <w:t>Drons</w:t>
            </w:r>
            <w:proofErr w:type="spellEnd"/>
            <w:r w:rsidRPr="00661359">
              <w:rPr>
                <w:sz w:val="22"/>
                <w:szCs w:val="22"/>
              </w:rPr>
              <w:br/>
            </w:r>
            <w:proofErr w:type="spellStart"/>
            <w:r w:rsidRPr="00661359">
              <w:rPr>
                <w:sz w:val="22"/>
                <w:szCs w:val="22"/>
              </w:rPr>
              <w:t>Instagram</w:t>
            </w:r>
            <w:proofErr w:type="spellEnd"/>
            <w:r w:rsidRPr="00661359">
              <w:rPr>
                <w:sz w:val="22"/>
                <w:szCs w:val="22"/>
              </w:rPr>
              <w:t xml:space="preserve"> TV</w:t>
            </w:r>
          </w:p>
          <w:p w14:paraId="25C560BC" w14:textId="77777777" w:rsidR="0086304D" w:rsidRPr="00661359" w:rsidRDefault="00661359" w:rsidP="004B494A">
            <w:pPr>
              <w:rPr>
                <w:rFonts w:ascii="Times New Roman" w:eastAsia="Calibri" w:hAnsi="Times New Roman" w:cs="Times New Roman"/>
              </w:rPr>
            </w:pPr>
            <w:r w:rsidRPr="00661359">
              <w:rPr>
                <w:rFonts w:ascii="Times New Roman" w:hAnsi="Times New Roman" w:cs="Times New Roman"/>
                <w:b/>
                <w:bCs/>
              </w:rPr>
              <w:t>#</w:t>
            </w:r>
            <w:proofErr w:type="spellStart"/>
            <w:r w:rsidRPr="00661359">
              <w:rPr>
                <w:rFonts w:ascii="Times New Roman" w:hAnsi="Times New Roman" w:cs="Times New Roman"/>
                <w:b/>
                <w:bCs/>
              </w:rPr>
              <w:t>DzSv</w:t>
            </w:r>
            <w:proofErr w:type="spellEnd"/>
            <w:r w:rsidRPr="00661359">
              <w:rPr>
                <w:rFonts w:ascii="Times New Roman" w:hAnsi="Times New Roman" w:cs="Times New Roman"/>
                <w:b/>
                <w:bCs/>
              </w:rPr>
              <w:t xml:space="preserve"> uzziņu tālrunis LMT kontaktu centrā:</w:t>
            </w:r>
            <w:r w:rsidRPr="00661359">
              <w:rPr>
                <w:rFonts w:ascii="Times New Roman" w:hAnsi="Times New Roman" w:cs="Times New Roman"/>
              </w:rPr>
              <w:br/>
              <w:t>reģistrēti vairāk nekā 5000 zvani</w:t>
            </w:r>
            <w:r w:rsidR="004B494A">
              <w:rPr>
                <w:rFonts w:ascii="Times New Roman" w:hAnsi="Times New Roman" w:cs="Times New Roman"/>
              </w:rPr>
              <w:t>.</w:t>
            </w:r>
          </w:p>
          <w:p w14:paraId="201CC086" w14:textId="77777777" w:rsidR="00706ED1" w:rsidRPr="00706ED1" w:rsidRDefault="00706ED1" w:rsidP="004B494A">
            <w:pPr>
              <w:spacing w:after="0"/>
              <w:rPr>
                <w:rFonts w:ascii="Times New Roman" w:hAnsi="Times New Roman" w:cs="Times New Roman"/>
              </w:rPr>
            </w:pPr>
            <w:r w:rsidRPr="00706ED1">
              <w:rPr>
                <w:rFonts w:ascii="Times New Roman" w:eastAsia="Calibri" w:hAnsi="Times New Roman" w:cs="Times New Roman"/>
              </w:rPr>
              <w:t xml:space="preserve">Mērķauditorija: </w:t>
            </w:r>
            <w:r w:rsidRPr="00706ED1">
              <w:rPr>
                <w:rFonts w:ascii="Times New Roman" w:hAnsi="Times New Roman" w:cs="Times New Roman"/>
                <w:bCs/>
              </w:rPr>
              <w:t>bērni, ģimenes ar bērniem; jaunieši;</w:t>
            </w:r>
            <w:r w:rsidR="004B494A">
              <w:rPr>
                <w:rFonts w:ascii="Times New Roman" w:hAnsi="Times New Roman" w:cs="Times New Roman"/>
                <w:bCs/>
              </w:rPr>
              <w:t xml:space="preserve"> </w:t>
            </w:r>
            <w:r w:rsidRPr="00706ED1">
              <w:rPr>
                <w:rFonts w:ascii="Times New Roman" w:hAnsi="Times New Roman" w:cs="Times New Roman"/>
                <w:bCs/>
                <w:shd w:val="clear" w:color="auto" w:fill="FFFFFF"/>
              </w:rPr>
              <w:t>seniori; Latvijas mazākumtautību iedzīvotāji; Latvijas reģionu iedzīvotāji; tautieši ārvalstīs; cilvēki ar īpašām vajadzībām; ārvalstu viesi.</w:t>
            </w:r>
          </w:p>
        </w:tc>
      </w:tr>
      <w:tr w:rsidR="0086304D" w:rsidRPr="00C61967" w14:paraId="16FDF30A" w14:textId="77777777" w:rsidTr="00661359">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13" w:type="pct"/>
        </w:trPr>
        <w:tc>
          <w:tcPr>
            <w:tcW w:w="1594" w:type="pct"/>
            <w:gridSpan w:val="2"/>
            <w:tcBorders>
              <w:top w:val="outset" w:sz="6" w:space="0" w:color="414142"/>
              <w:left w:val="outset" w:sz="6" w:space="0" w:color="414142"/>
              <w:bottom w:val="outset" w:sz="6" w:space="0" w:color="414142"/>
              <w:right w:val="outset" w:sz="6" w:space="0" w:color="414142"/>
            </w:tcBorders>
            <w:hideMark/>
          </w:tcPr>
          <w:p w14:paraId="0776703F" w14:textId="77777777" w:rsidR="0086304D" w:rsidRPr="00C61967" w:rsidRDefault="0086304D" w:rsidP="007906D0">
            <w:pPr>
              <w:rPr>
                <w:rFonts w:ascii="Times New Roman" w:hAnsi="Times New Roman" w:cs="Times New Roman"/>
                <w:b/>
                <w:bCs/>
              </w:rPr>
            </w:pPr>
            <w:r w:rsidRPr="00C61967">
              <w:rPr>
                <w:rFonts w:ascii="Times New Roman" w:hAnsi="Times New Roman" w:cs="Times New Roman"/>
                <w:b/>
                <w:bCs/>
              </w:rPr>
              <w:lastRenderedPageBreak/>
              <w:t>3. Pasākumu rezultātu ilgtspēja/paliekošā vērtība</w:t>
            </w:r>
          </w:p>
        </w:tc>
        <w:tc>
          <w:tcPr>
            <w:tcW w:w="3388"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65BCCC7E" w14:textId="77777777" w:rsidR="0086304D" w:rsidRPr="00047CAC" w:rsidRDefault="00D56815" w:rsidP="003022CA">
            <w:pPr>
              <w:spacing w:after="0"/>
              <w:rPr>
                <w:rFonts w:ascii="Times New Roman" w:hAnsi="Times New Roman" w:cs="Times New Roman"/>
              </w:rPr>
            </w:pPr>
            <w:r w:rsidRPr="00047CAC">
              <w:rPr>
                <w:rFonts w:ascii="Times New Roman" w:hAnsi="Times New Roman" w:cs="Times New Roman"/>
              </w:rPr>
              <w:t xml:space="preserve">Pasākuma dalībniekiem un mērķauditorijai radītas jaunas zināšanas, priekšstati un izpratne par </w:t>
            </w:r>
            <w:r w:rsidR="009D50A4">
              <w:rPr>
                <w:rFonts w:ascii="Times New Roman" w:eastAsia="Calibri" w:hAnsi="Times New Roman" w:cs="Times New Roman"/>
              </w:rPr>
              <w:t>Dziesmu un deju svētku tradīciju</w:t>
            </w:r>
            <w:r w:rsidRPr="00047CAC">
              <w:rPr>
                <w:rFonts w:ascii="Times New Roman" w:hAnsi="Times New Roman" w:cs="Times New Roman"/>
              </w:rPr>
              <w:t xml:space="preserve">; attīstīta piederības sajūta Latvijas valstij un dzīves vietai; attīstīta vienotības apziņa ar savu tautu, kopienu; nostiprināts lepnums par Latvijas valsti; radīta jauna kultūras pieredze un emocijas; radītas jaunas tradīcijas; aktualizēts un/vai radīts jauns digitāls mantojums; radītas jaunas idejas un </w:t>
            </w:r>
            <w:proofErr w:type="spellStart"/>
            <w:r w:rsidRPr="00047CAC">
              <w:rPr>
                <w:rFonts w:ascii="Times New Roman" w:hAnsi="Times New Roman" w:cs="Times New Roman"/>
              </w:rPr>
              <w:t>koprades</w:t>
            </w:r>
            <w:proofErr w:type="spellEnd"/>
            <w:r w:rsidRPr="00047CAC">
              <w:rPr>
                <w:rFonts w:ascii="Times New Roman" w:hAnsi="Times New Roman" w:cs="Times New Roman"/>
              </w:rPr>
              <w:t xml:space="preserve"> formas; ieguldījums valsts tēla popularizēšanā un atpazīstamības veicināšanā ārvalstīs;</w:t>
            </w:r>
          </w:p>
        </w:tc>
      </w:tr>
      <w:tr w:rsidR="0086304D" w:rsidRPr="00C61967" w14:paraId="6316C3E1" w14:textId="77777777" w:rsidTr="00661359">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13" w:type="pct"/>
        </w:trPr>
        <w:tc>
          <w:tcPr>
            <w:tcW w:w="1594" w:type="pct"/>
            <w:gridSpan w:val="2"/>
            <w:tcBorders>
              <w:top w:val="outset" w:sz="6" w:space="0" w:color="414142"/>
              <w:left w:val="outset" w:sz="6" w:space="0" w:color="414142"/>
              <w:bottom w:val="outset" w:sz="6" w:space="0" w:color="414142"/>
              <w:right w:val="outset" w:sz="6" w:space="0" w:color="414142"/>
            </w:tcBorders>
          </w:tcPr>
          <w:p w14:paraId="27618460" w14:textId="77777777" w:rsidR="0086304D" w:rsidRPr="003E25E1" w:rsidRDefault="0086304D" w:rsidP="007906D0">
            <w:pPr>
              <w:rPr>
                <w:rFonts w:ascii="Times New Roman" w:hAnsi="Times New Roman" w:cs="Times New Roman"/>
                <w:b/>
                <w:bCs/>
              </w:rPr>
            </w:pPr>
            <w:r w:rsidRPr="003E25E1">
              <w:rPr>
                <w:rFonts w:ascii="Times New Roman" w:hAnsi="Times New Roman" w:cs="Times New Roman"/>
                <w:b/>
                <w:bCs/>
              </w:rPr>
              <w:t xml:space="preserve">4.Pasākuma īstenošanai izmantotais valsts budžeta finansējuma apmērs </w:t>
            </w:r>
          </w:p>
        </w:tc>
        <w:tc>
          <w:tcPr>
            <w:tcW w:w="3388" w:type="pct"/>
            <w:gridSpan w:val="2"/>
            <w:tcBorders>
              <w:top w:val="outset" w:sz="6" w:space="0" w:color="414142"/>
              <w:left w:val="outset" w:sz="6" w:space="0" w:color="414142"/>
              <w:bottom w:val="outset" w:sz="6" w:space="0" w:color="414142"/>
              <w:right w:val="outset" w:sz="6" w:space="0" w:color="414142"/>
            </w:tcBorders>
            <w:shd w:val="clear" w:color="auto" w:fill="FFFFFF"/>
          </w:tcPr>
          <w:p w14:paraId="63202420" w14:textId="75EC75FD" w:rsidR="0086304D" w:rsidRPr="003E25E1" w:rsidRDefault="006821A8" w:rsidP="004C24DB">
            <w:pPr>
              <w:rPr>
                <w:rFonts w:ascii="Times New Roman" w:hAnsi="Times New Roman" w:cs="Times New Roman"/>
              </w:rPr>
            </w:pPr>
            <w:r w:rsidRPr="001277E2">
              <w:rPr>
                <w:rFonts w:ascii="Times New Roman" w:hAnsi="Times New Roman" w:cs="Times New Roman"/>
              </w:rPr>
              <w:t xml:space="preserve">EUR </w:t>
            </w:r>
            <w:r w:rsidR="00C70FC6" w:rsidRPr="001277E2">
              <w:rPr>
                <w:rFonts w:ascii="Times New Roman" w:hAnsi="Times New Roman" w:cs="Times New Roman"/>
              </w:rPr>
              <w:t>9 333 291</w:t>
            </w:r>
          </w:p>
        </w:tc>
      </w:tr>
    </w:tbl>
    <w:p w14:paraId="7B6569EC" w14:textId="77777777" w:rsidR="0086304D" w:rsidRPr="00C61967" w:rsidRDefault="0086304D" w:rsidP="0086304D">
      <w:pPr>
        <w:pStyle w:val="Sarakstarindkopa"/>
        <w:spacing w:after="0"/>
        <w:rPr>
          <w:rFonts w:ascii="Times New Roman" w:hAnsi="Times New Roman"/>
          <w:color w:val="auto"/>
          <w:szCs w:val="22"/>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996"/>
        <w:gridCol w:w="497"/>
        <w:gridCol w:w="832"/>
        <w:gridCol w:w="2326"/>
        <w:gridCol w:w="3655"/>
      </w:tblGrid>
      <w:tr w:rsidR="008E5814" w:rsidRPr="002A1107" w14:paraId="5F044009" w14:textId="77777777" w:rsidTr="008E5814">
        <w:tc>
          <w:tcPr>
            <w:tcW w:w="899" w:type="pct"/>
            <w:gridSpan w:val="2"/>
            <w:tcBorders>
              <w:top w:val="nil"/>
              <w:left w:val="nil"/>
              <w:bottom w:val="nil"/>
              <w:right w:val="nil"/>
            </w:tcBorders>
            <w:hideMark/>
          </w:tcPr>
          <w:p w14:paraId="7C9D851B" w14:textId="77777777" w:rsidR="008E5814" w:rsidRPr="002A1107" w:rsidRDefault="007A18C8" w:rsidP="00726895">
            <w:pPr>
              <w:rPr>
                <w:rFonts w:ascii="Times New Roman" w:hAnsi="Times New Roman" w:cs="Times New Roman"/>
              </w:rPr>
            </w:pPr>
            <w:r>
              <w:rPr>
                <w:rFonts w:ascii="Times New Roman" w:hAnsi="Times New Roman" w:cs="Times New Roman"/>
              </w:rPr>
              <w:t>Sagatavotāji</w:t>
            </w:r>
          </w:p>
        </w:tc>
        <w:tc>
          <w:tcPr>
            <w:tcW w:w="4101" w:type="pct"/>
            <w:gridSpan w:val="3"/>
            <w:tcBorders>
              <w:top w:val="nil"/>
              <w:left w:val="nil"/>
              <w:bottom w:val="single" w:sz="6" w:space="0" w:color="414142"/>
              <w:right w:val="nil"/>
            </w:tcBorders>
            <w:hideMark/>
          </w:tcPr>
          <w:p w14:paraId="56358A37" w14:textId="248CA6EF" w:rsidR="008E5814" w:rsidRPr="002A1107" w:rsidRDefault="00B3396D" w:rsidP="004C24DB">
            <w:pPr>
              <w:jc w:val="center"/>
              <w:rPr>
                <w:rFonts w:ascii="Times New Roman" w:hAnsi="Times New Roman" w:cs="Times New Roman"/>
              </w:rPr>
            </w:pPr>
            <w:r>
              <w:rPr>
                <w:rFonts w:ascii="Times New Roman" w:hAnsi="Times New Roman" w:cs="Times New Roman"/>
              </w:rPr>
              <w:t xml:space="preserve">LNKC direktore </w:t>
            </w:r>
            <w:r w:rsidRPr="008B4AFB">
              <w:rPr>
                <w:rFonts w:ascii="Times New Roman" w:eastAsia="Calibri" w:hAnsi="Times New Roman" w:cs="Times New Roman"/>
                <w:sz w:val="24"/>
                <w:szCs w:val="24"/>
              </w:rPr>
              <w:t>Signe Pujāte</w:t>
            </w:r>
          </w:p>
        </w:tc>
      </w:tr>
      <w:tr w:rsidR="008E5814" w:rsidRPr="002A1107" w14:paraId="10426D89" w14:textId="77777777" w:rsidTr="00726895">
        <w:tc>
          <w:tcPr>
            <w:tcW w:w="1400" w:type="pct"/>
            <w:gridSpan w:val="3"/>
            <w:tcBorders>
              <w:top w:val="nil"/>
              <w:left w:val="nil"/>
              <w:bottom w:val="nil"/>
              <w:right w:val="nil"/>
            </w:tcBorders>
            <w:hideMark/>
          </w:tcPr>
          <w:p w14:paraId="4119943A" w14:textId="77777777" w:rsidR="008E5814" w:rsidRPr="002A1107" w:rsidRDefault="008E5814" w:rsidP="00726895">
            <w:pPr>
              <w:rPr>
                <w:rFonts w:ascii="Times New Roman" w:hAnsi="Times New Roman" w:cs="Times New Roman"/>
              </w:rPr>
            </w:pPr>
            <w:r w:rsidRPr="002A1107">
              <w:rPr>
                <w:rFonts w:ascii="Times New Roman" w:hAnsi="Times New Roman" w:cs="Times New Roman"/>
              </w:rPr>
              <w:t> </w:t>
            </w:r>
          </w:p>
        </w:tc>
        <w:tc>
          <w:tcPr>
            <w:tcW w:w="3600" w:type="pct"/>
            <w:gridSpan w:val="2"/>
            <w:tcBorders>
              <w:top w:val="outset" w:sz="6" w:space="0" w:color="414142"/>
              <w:left w:val="nil"/>
              <w:bottom w:val="nil"/>
              <w:right w:val="nil"/>
            </w:tcBorders>
            <w:hideMark/>
          </w:tcPr>
          <w:p w14:paraId="0D5851AF" w14:textId="77777777" w:rsidR="008E5814" w:rsidRPr="002A1107" w:rsidRDefault="008E5814" w:rsidP="00726895">
            <w:pPr>
              <w:pStyle w:val="tvhtml"/>
              <w:spacing w:line="293" w:lineRule="atLeast"/>
              <w:jc w:val="center"/>
              <w:rPr>
                <w:sz w:val="22"/>
                <w:szCs w:val="22"/>
              </w:rPr>
            </w:pPr>
            <w:r w:rsidRPr="002A1107">
              <w:rPr>
                <w:sz w:val="22"/>
                <w:szCs w:val="22"/>
              </w:rPr>
              <w:t>(amats, vārds, uzvārds)</w:t>
            </w:r>
          </w:p>
        </w:tc>
      </w:tr>
      <w:tr w:rsidR="008E5814" w:rsidRPr="002A1107" w14:paraId="5435CA40" w14:textId="77777777" w:rsidTr="00726895">
        <w:tc>
          <w:tcPr>
            <w:tcW w:w="600" w:type="pct"/>
            <w:tcBorders>
              <w:top w:val="nil"/>
              <w:left w:val="nil"/>
              <w:bottom w:val="nil"/>
              <w:right w:val="nil"/>
            </w:tcBorders>
            <w:vAlign w:val="bottom"/>
            <w:hideMark/>
          </w:tcPr>
          <w:p w14:paraId="5F70D4C5" w14:textId="77777777" w:rsidR="008E5814" w:rsidRPr="002A1107" w:rsidRDefault="008E5814" w:rsidP="00726895">
            <w:pPr>
              <w:rPr>
                <w:rFonts w:ascii="Times New Roman" w:hAnsi="Times New Roman" w:cs="Times New Roman"/>
              </w:rPr>
            </w:pPr>
            <w:r w:rsidRPr="002A1107">
              <w:rPr>
                <w:rFonts w:ascii="Times New Roman" w:hAnsi="Times New Roman" w:cs="Times New Roman"/>
              </w:rPr>
              <w:t>Tālrunis</w:t>
            </w:r>
          </w:p>
        </w:tc>
        <w:tc>
          <w:tcPr>
            <w:tcW w:w="2200" w:type="pct"/>
            <w:gridSpan w:val="3"/>
            <w:tcBorders>
              <w:top w:val="nil"/>
              <w:left w:val="nil"/>
              <w:bottom w:val="single" w:sz="6" w:space="0" w:color="414142"/>
              <w:right w:val="nil"/>
            </w:tcBorders>
            <w:hideMark/>
          </w:tcPr>
          <w:p w14:paraId="069F65A8" w14:textId="77777777" w:rsidR="008E5814" w:rsidRPr="002A1107" w:rsidRDefault="008E5814" w:rsidP="00726895">
            <w:pPr>
              <w:rPr>
                <w:rFonts w:ascii="Times New Roman" w:hAnsi="Times New Roman" w:cs="Times New Roman"/>
              </w:rPr>
            </w:pPr>
            <w:r w:rsidRPr="002A1107">
              <w:rPr>
                <w:rFonts w:ascii="Times New Roman" w:hAnsi="Times New Roman" w:cs="Times New Roman"/>
              </w:rPr>
              <w:t> 67228985</w:t>
            </w:r>
          </w:p>
        </w:tc>
        <w:tc>
          <w:tcPr>
            <w:tcW w:w="2200" w:type="pct"/>
            <w:tcBorders>
              <w:top w:val="nil"/>
              <w:left w:val="nil"/>
              <w:bottom w:val="nil"/>
              <w:right w:val="nil"/>
            </w:tcBorders>
            <w:hideMark/>
          </w:tcPr>
          <w:p w14:paraId="2C0B9A93" w14:textId="77777777" w:rsidR="008E5814" w:rsidRPr="002A1107" w:rsidRDefault="008E5814" w:rsidP="00726895">
            <w:pPr>
              <w:rPr>
                <w:rFonts w:ascii="Times New Roman" w:hAnsi="Times New Roman" w:cs="Times New Roman"/>
              </w:rPr>
            </w:pPr>
            <w:r w:rsidRPr="002A1107">
              <w:rPr>
                <w:rFonts w:ascii="Times New Roman" w:hAnsi="Times New Roman" w:cs="Times New Roman"/>
              </w:rPr>
              <w:t> </w:t>
            </w:r>
          </w:p>
        </w:tc>
      </w:tr>
      <w:tr w:rsidR="008E5814" w:rsidRPr="002A1107" w14:paraId="3C86B0A2" w14:textId="77777777" w:rsidTr="00726895">
        <w:trPr>
          <w:trHeight w:val="288"/>
        </w:trPr>
        <w:tc>
          <w:tcPr>
            <w:tcW w:w="600" w:type="pct"/>
            <w:tcBorders>
              <w:top w:val="nil"/>
              <w:left w:val="nil"/>
              <w:bottom w:val="nil"/>
              <w:right w:val="nil"/>
            </w:tcBorders>
            <w:vAlign w:val="bottom"/>
            <w:hideMark/>
          </w:tcPr>
          <w:p w14:paraId="2E9CD2B7" w14:textId="77777777" w:rsidR="008E5814" w:rsidRPr="002A1107" w:rsidRDefault="008E5814" w:rsidP="00726895">
            <w:pPr>
              <w:rPr>
                <w:rFonts w:ascii="Times New Roman" w:hAnsi="Times New Roman" w:cs="Times New Roman"/>
              </w:rPr>
            </w:pPr>
            <w:r w:rsidRPr="002A1107">
              <w:rPr>
                <w:rFonts w:ascii="Times New Roman" w:hAnsi="Times New Roman" w:cs="Times New Roman"/>
              </w:rPr>
              <w:t>E-pasts</w:t>
            </w:r>
          </w:p>
          <w:p w14:paraId="514C8BAC" w14:textId="77777777" w:rsidR="008E5814" w:rsidRPr="002A1107" w:rsidRDefault="008E5814" w:rsidP="00726895">
            <w:pPr>
              <w:rPr>
                <w:rFonts w:ascii="Times New Roman" w:hAnsi="Times New Roman" w:cs="Times New Roman"/>
              </w:rPr>
            </w:pPr>
          </w:p>
        </w:tc>
        <w:tc>
          <w:tcPr>
            <w:tcW w:w="2200" w:type="pct"/>
            <w:gridSpan w:val="3"/>
            <w:tcBorders>
              <w:top w:val="outset" w:sz="6" w:space="0" w:color="414142"/>
              <w:left w:val="nil"/>
              <w:bottom w:val="single" w:sz="6" w:space="0" w:color="414142"/>
              <w:right w:val="nil"/>
            </w:tcBorders>
            <w:hideMark/>
          </w:tcPr>
          <w:p w14:paraId="0097337C" w14:textId="147D9F61" w:rsidR="008E5814" w:rsidRPr="002A1107" w:rsidRDefault="008E5814" w:rsidP="004C24DB">
            <w:pPr>
              <w:rPr>
                <w:rFonts w:ascii="Times New Roman" w:hAnsi="Times New Roman" w:cs="Times New Roman"/>
              </w:rPr>
            </w:pPr>
            <w:r w:rsidRPr="002A1107">
              <w:rPr>
                <w:rFonts w:ascii="Times New Roman" w:hAnsi="Times New Roman" w:cs="Times New Roman"/>
              </w:rPr>
              <w:t>signe.</w:t>
            </w:r>
            <w:r w:rsidR="004C24DB">
              <w:rPr>
                <w:rFonts w:ascii="Times New Roman" w:hAnsi="Times New Roman" w:cs="Times New Roman"/>
              </w:rPr>
              <w:t>pujate</w:t>
            </w:r>
            <w:r w:rsidRPr="002A1107">
              <w:rPr>
                <w:rFonts w:ascii="Times New Roman" w:hAnsi="Times New Roman" w:cs="Times New Roman"/>
              </w:rPr>
              <w:t>@lnkc.gov.lv</w:t>
            </w:r>
          </w:p>
        </w:tc>
        <w:tc>
          <w:tcPr>
            <w:tcW w:w="2200" w:type="pct"/>
            <w:tcBorders>
              <w:top w:val="nil"/>
              <w:left w:val="nil"/>
              <w:bottom w:val="nil"/>
              <w:right w:val="nil"/>
            </w:tcBorders>
            <w:hideMark/>
          </w:tcPr>
          <w:p w14:paraId="439EC209" w14:textId="77777777" w:rsidR="008E5814" w:rsidRPr="002A1107" w:rsidRDefault="008E5814" w:rsidP="00726895">
            <w:pPr>
              <w:rPr>
                <w:rFonts w:ascii="Times New Roman" w:hAnsi="Times New Roman" w:cs="Times New Roman"/>
              </w:rPr>
            </w:pPr>
            <w:r w:rsidRPr="002A1107">
              <w:rPr>
                <w:rFonts w:ascii="Times New Roman" w:hAnsi="Times New Roman" w:cs="Times New Roman"/>
              </w:rPr>
              <w:t> </w:t>
            </w:r>
          </w:p>
        </w:tc>
      </w:tr>
    </w:tbl>
    <w:p w14:paraId="1633023B" w14:textId="77777777" w:rsidR="00082665" w:rsidRPr="00C61967" w:rsidRDefault="00082665">
      <w:pPr>
        <w:rPr>
          <w:rFonts w:ascii="Times New Roman" w:hAnsi="Times New Roman" w:cs="Times New Roman"/>
        </w:rPr>
      </w:pPr>
      <w:bookmarkStart w:id="0" w:name="_GoBack"/>
      <w:bookmarkEnd w:id="0"/>
    </w:p>
    <w:sectPr w:rsidR="00082665" w:rsidRPr="00C6196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34EB8"/>
    <w:multiLevelType w:val="hybridMultilevel"/>
    <w:tmpl w:val="59A69558"/>
    <w:lvl w:ilvl="0" w:tplc="C144CE20">
      <w:start w:val="2018"/>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 w15:restartNumberingAfterBreak="0">
    <w:nsid w:val="1BA83651"/>
    <w:multiLevelType w:val="hybridMultilevel"/>
    <w:tmpl w:val="9AAEA39C"/>
    <w:lvl w:ilvl="0" w:tplc="04260001">
      <w:start w:val="2018"/>
      <w:numFmt w:val="bullet"/>
      <w:lvlText w:val=""/>
      <w:lvlJc w:val="left"/>
      <w:pPr>
        <w:ind w:left="720" w:hanging="360"/>
      </w:pPr>
      <w:rPr>
        <w:rFonts w:ascii="Symbol" w:eastAsia="Times New Roman" w:hAnsi="Symbol"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04D"/>
    <w:rsid w:val="00003BDB"/>
    <w:rsid w:val="00047CAC"/>
    <w:rsid w:val="00082665"/>
    <w:rsid w:val="000F5F38"/>
    <w:rsid w:val="001277E2"/>
    <w:rsid w:val="001E40A8"/>
    <w:rsid w:val="00203C2D"/>
    <w:rsid w:val="003022CA"/>
    <w:rsid w:val="003E25E1"/>
    <w:rsid w:val="004B494A"/>
    <w:rsid w:val="004C24DB"/>
    <w:rsid w:val="004D19C6"/>
    <w:rsid w:val="00573467"/>
    <w:rsid w:val="00661359"/>
    <w:rsid w:val="006821A8"/>
    <w:rsid w:val="00706ED1"/>
    <w:rsid w:val="00747098"/>
    <w:rsid w:val="007868C5"/>
    <w:rsid w:val="00793F48"/>
    <w:rsid w:val="007A18C8"/>
    <w:rsid w:val="00861C6E"/>
    <w:rsid w:val="0086304D"/>
    <w:rsid w:val="008B4AFB"/>
    <w:rsid w:val="008E5814"/>
    <w:rsid w:val="00927CC0"/>
    <w:rsid w:val="00966403"/>
    <w:rsid w:val="009D0DCB"/>
    <w:rsid w:val="009D50A4"/>
    <w:rsid w:val="00A82967"/>
    <w:rsid w:val="00AA1B7D"/>
    <w:rsid w:val="00B3396D"/>
    <w:rsid w:val="00C31796"/>
    <w:rsid w:val="00C61967"/>
    <w:rsid w:val="00C70FC6"/>
    <w:rsid w:val="00D56815"/>
    <w:rsid w:val="00E862F3"/>
    <w:rsid w:val="00EC59CE"/>
    <w:rsid w:val="00F17CD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87FF3"/>
  <w15:chartTrackingRefBased/>
  <w15:docId w15:val="{E9EA8175-394B-4B3D-AFA6-A55F88B6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6304D"/>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86304D"/>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86304D"/>
    <w:rPr>
      <w:rFonts w:ascii="Calibri" w:eastAsia="Calibri" w:hAnsi="Calibri" w:cs="Times New Roman"/>
      <w:color w:val="000000"/>
      <w:szCs w:val="20"/>
      <w:lang w:val="en-AU"/>
    </w:rPr>
  </w:style>
  <w:style w:type="paragraph" w:customStyle="1" w:styleId="tvhtml">
    <w:name w:val="tv_html"/>
    <w:basedOn w:val="Parasts"/>
    <w:rsid w:val="0086304D"/>
    <w:pPr>
      <w:spacing w:before="100" w:beforeAutospacing="1" w:after="100" w:afterAutospacing="1"/>
      <w:jc w:val="left"/>
    </w:pPr>
    <w:rPr>
      <w:rFonts w:ascii="Times New Roman" w:eastAsia="Times New Roman" w:hAnsi="Times New Roman" w:cs="Times New Roman"/>
      <w:sz w:val="24"/>
      <w:szCs w:val="24"/>
      <w:lang w:eastAsia="lv-LV"/>
    </w:rPr>
  </w:style>
  <w:style w:type="character" w:styleId="Hipersaite">
    <w:name w:val="Hyperlink"/>
    <w:basedOn w:val="Noklusjumarindkopasfonts"/>
    <w:rsid w:val="00EC59CE"/>
    <w:rPr>
      <w:color w:val="0000FF"/>
      <w:u w:val="single"/>
    </w:rPr>
  </w:style>
  <w:style w:type="paragraph" w:styleId="Paraststmeklis">
    <w:name w:val="Normal (Web)"/>
    <w:basedOn w:val="Parasts"/>
    <w:uiPriority w:val="99"/>
    <w:unhideWhenUsed/>
    <w:rsid w:val="00661359"/>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2700</Words>
  <Characters>1539</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Birojs</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Martisune Signe</dc:creator>
  <cp:keywords/>
  <dc:description/>
  <cp:lastModifiedBy>Anda Spūle</cp:lastModifiedBy>
  <cp:revision>3</cp:revision>
  <dcterms:created xsi:type="dcterms:W3CDTF">2022-05-24T14:22:00Z</dcterms:created>
  <dcterms:modified xsi:type="dcterms:W3CDTF">2022-05-24T14:22:00Z</dcterms:modified>
</cp:coreProperties>
</file>